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Разъяснение Совета Федеральной палаты адвокатов Российской Федерации по вопросу определения «рыночного» размера вознаграждения адвоката за оказание юридической помощи </w:t>
      </w:r>
      <w:bookmarkEnd w:id="1"/>
    </w:p>
    <w:p>
      <w:pPr>
        <w:jc w:val="center"/>
        <w:spacing w:after="566.9291338582676"/>
      </w:pPr>
      <w:r>
        <w:rPr>
          <w:color w:val="999999"/>
          <w:sz w:val="20"/>
          <w:szCs w:val="20"/>
        </w:rPr>
        <w:t xml:space="preserve">30 июля 2026г.</w:t>
      </w:r>
    </w:p>
    <w:p>
      <w:pPr>
        <w:jc w:val="right"/>
        <w:spacing w:line="360" w:lineRule="auto"/>
      </w:pPr>
      <w:r>
        <w:rPr/>
        <w:t xml:space="preserve">Утверждено решением Совета ФПА РФ</w:t>
      </w:r>
      <w:br/>
      <w:r>
        <w:rPr/>
        <w:t xml:space="preserve">от 30 июля 2026 г. (протокол № 15) </w:t>
      </w:r>
      <w:br/>
    </w:p>
    <w:p>
      <w:pPr>
        <w:spacing w:line="360" w:lineRule="auto"/>
      </w:pPr>
      <w:r>
        <w:rPr/>
        <w:t xml:space="preserve">В связи с поступающими запросами о методологии, содержании и значении изысканий, в том числе проводимых в процессуальной форме судебной экспертизы, имеющих целью определение «рыночного» размера вознаграждения адвоката за оказываемую юридическую помощь, Совет Федеральной палаты адвокатов сообщает следующее:</w:t>
      </w:r>
      <w:br/>
    </w:p>
    <w:p>
      <w:pPr>
        <w:spacing w:line="360" w:lineRule="auto"/>
      </w:pPr>
      <w:r>
        <w:rPr/>
        <w:t xml:space="preserve">1. В соответствии с Федеральным законом от 31 мая 2002 г. № 63-ФЗ «Об адвокатской деятельности и адвокатуре в Российской Федерации» (далее – Федеральный закон № 63-ФЗ) адвокатская деятельность – это имеющая публичное значение квалифицированная юридическая помощь, оказываемая на профессиональной основе лицами, получившими статус адвоката, физическим и юридическим лицам в целях защиты их прав, свобод и интересов, а также обеспечения доступа к правосудию; данная деятельность осуществляется на основе соглашения между адвокатом и доверителем, которое представляет собой гражданско-правовой договор, заключаемый в простой письменной форме между доверителем и адвокатом (адвокатами), на оказание юридической помощи самому доверителю или назначенному им лицу (Определение Конституционного Суда Российской Федерации от 15 января 2009 г. № 462-О-О).</w:t>
      </w:r>
      <w:br/>
    </w:p>
    <w:p>
      <w:pPr>
        <w:spacing w:line="360" w:lineRule="auto"/>
      </w:pPr>
      <w:r>
        <w:rPr/>
        <w:t xml:space="preserve">2. В соответствии с подпунктом 3 пункта 4 статьи 25 Федерального закона № 63-ФЗ существенным условием соглашения об оказании юридической помощи является размер вознаграждения за оказываемую юридическую помощь.</w:t>
      </w:r>
      <w:br/>
    </w:p>
    <w:p>
      <w:pPr>
        <w:spacing w:line="360" w:lineRule="auto"/>
      </w:pPr>
      <w:r>
        <w:rPr/>
        <w:t xml:space="preserve">Как указал Конституционный Суд Российской Федерации в Постановлении от 25 ноября 2025 г. № 41-П «По делу о проверке конституционности пунктов 1 и 2 статьи 424 Гражданского кодекса Российской Федерации, пункта 1 статьи 168 Налогового кодекса Российской Федерации, подпункта “а” пункта 1 статьи 1 Федерального закона от 31 июля 2020 года № 265-ФЗ «О внесении изменений в часть вторую Налогового кодекса Российской Федерации» в связи с жалобой публичного акционерного общества “Банк ВТБ”», Гражданский кодекс Российской Федерации, провозглашая в пункте 1 статьи 1 свободу договора в числе основных начал гражданского законодательства, закрепляет в пунктах 1 и 2 статьи 424, что исполнение договора оплачивается по цене, установленной соглашением сторон, и лишь в предусмотренных законом случаях применяются цены, устанавливаемые или регулируемые уполномоченными на то государственными органами или органами местного самоуправления. Стороны договора, таким образом, по общему правилу свободны в выборе вариантов согласования условия о его цене.</w:t>
      </w:r>
      <w:br/>
    </w:p>
    <w:p>
      <w:pPr>
        <w:spacing w:line="360" w:lineRule="auto"/>
      </w:pPr>
      <w:r>
        <w:rPr/>
        <w:t xml:space="preserve">В этой связи условие соглашения об оказании юридической помощи о размере вознаграждения за оказываемую юридическую помощь предполагается «рыночным», соответствующим правовым интересам доверителя, содержанию комплекса правоотношений, в рамках которых доверитель нуждается в получении квалифицированной юридической помощи, объему, сложности и продолжительности работы адвоката, срочности ее выполнения, опыту и квалификации адвоката, иным имеющим существенное значение обстоятельствам оказания юридической помощи.</w:t>
      </w:r>
      <w:br/>
    </w:p>
    <w:p>
      <w:pPr>
        <w:spacing w:line="360" w:lineRule="auto"/>
      </w:pPr>
      <w:r>
        <w:rPr/>
        <w:t xml:space="preserve">3. В случаях законодательного установления процедур формирования цены договора, обеспечивающих соблюдение публичных и иных значимых социально-экономических интересов (требования корпоративного законодательства об одобрении крупных сделок, сделок с заинтересованностью; законодательства о государственных закупках об определении цены государственного контракта и другие), их соблюдение по общему правилу предполагает «рыночный» характер вознаграждения за оказание юридической помощи.</w:t>
      </w:r>
      <w:br/>
    </w:p>
    <w:p>
      <w:pPr>
        <w:spacing w:line="360" w:lineRule="auto"/>
      </w:pPr>
      <w:r>
        <w:rPr/>
        <w:t xml:space="preserve">Заключение договора на торгах (статья 447 ГК РФ) также является фактором, определяющим «рыночный» характер цены.</w:t>
      </w:r>
      <w:br/>
    </w:p>
    <w:p>
      <w:pPr>
        <w:spacing w:line="360" w:lineRule="auto"/>
      </w:pPr>
      <w:r>
        <w:rPr/>
        <w:t xml:space="preserve">4. В соответствии с пунктом 3 статьи 424 ГК РФ,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br/>
    </w:p>
    <w:p>
      <w:pPr>
        <w:spacing w:line="360" w:lineRule="auto"/>
      </w:pPr>
      <w:r>
        <w:rPr/>
        <w:t xml:space="preserve">Поскольку в соответствии с подпунктом 3 пункта 4 статьи 25 Федерального закона № 63-ФЗ условие соглашения об оказании юридической помощи о размере вознаграждения за оказываемую юридическую помощь является существенным, отсутствие согласия сторон по условию о цене или порядке ее определения не может быть восполнено по правилу пункта 3 статьи 424 ГК РФ. Соглашение об оказании юридической помощи в таком случае не считается заключенным до тех пор, пока стороны не согласуют названное условие о размере вознаграждения (абзац третий пункта 2 постановления Пленума Верховного Суда РФ от 25 декабря 2018 г. № 49 «О некоторых вопросах применения общих положений Гражданского кодекса Российской Федерации о заключении и толковании договора»).</w:t>
      </w:r>
      <w:br/>
    </w:p>
    <w:p>
      <w:pPr>
        <w:spacing w:line="360" w:lineRule="auto"/>
      </w:pPr>
      <w:r>
        <w:rPr/>
        <w:t xml:space="preserve">5. Разрешение вопроса о возможности проведения исследований, имеющих целью определение «рыночного» размера вознаграждения адвоката за оказание юридической помощи, предполагает всесторонний анализ и учет комплекса существенных обстоятельств, оказывающих влияние на формирование цены соглашения об оказании юридической помощи.  </w:t>
      </w:r>
      <w:br/>
    </w:p>
    <w:p>
      <w:pPr>
        <w:spacing w:line="360" w:lineRule="auto"/>
      </w:pPr>
      <w:r>
        <w:rPr/>
        <w:t xml:space="preserve">5.1. Примерный перечень критериев, принимаемых во внимание при определении размера вознаграждения адвоката, содержится в статье 16 Кодекса профессиональной этики адвоката (далее – КПЭА). К ним относятся объем и сложность работы, продолжительность времени, необходимого для ее выполнения, опыт и квалификация адвоката, сроки, степень срочности выполнения работы и иные обстоятельства.</w:t>
      </w:r>
      <w:br/>
    </w:p>
    <w:p>
      <w:pPr>
        <w:spacing w:line="360" w:lineRule="auto"/>
      </w:pPr>
      <w:r>
        <w:rPr/>
        <w:t xml:space="preserve">5.2. Размер вознаграждения за оказание юридической помощи зависит от конкретной правовой ситуации, требующей юридического разрешения, которая является уникальной, динамичной, характеризуется сочетанием типовых юридических фактов и случайных обстоятельств, что обусловливает проявление адвокатом взвешенного профессионального подхода и гибкости при ее оценке и квалификации правового интереса субъекта.</w:t>
      </w:r>
      <w:br/>
    </w:p>
    <w:p>
      <w:pPr>
        <w:spacing w:line="360" w:lineRule="auto"/>
      </w:pPr>
      <w:r>
        <w:rPr/>
        <w:t xml:space="preserve">Следует учитывать, что требующая разрешения правовая ситуация не является результатом действий адвоката, а формируется в процессе взаимодействия субъекта с иными лицами.</w:t>
      </w:r>
      <w:br/>
    </w:p>
    <w:p>
      <w:pPr>
        <w:spacing w:line="360" w:lineRule="auto"/>
      </w:pPr>
      <w:r>
        <w:rPr/>
        <w:t xml:space="preserve">5.3. Размер вознаграждения за оказание юридической помощи обусловливается, наряду с иными имеющими существенное значение обстоятельствами, сложностью дела либо комплекса реализуемых правовых способов и средств защиты прав и законных интересов доверителя.</w:t>
      </w:r>
      <w:br/>
    </w:p>
    <w:p>
      <w:pPr>
        <w:spacing w:line="360" w:lineRule="auto"/>
      </w:pPr>
      <w:r>
        <w:rPr/>
        <w:t xml:space="preserve">Сложность дела является оценочной характеристикой, которая определяется категорией спора, социальными последствиями его разрешения, рисками доверителя, особенностями правового регулирования спорных правоотношений, их структурой и субъектным составом, наличием сформировавшейся судебной практики, объемом и содержанием доказательств, необходимостью использования специальных познаний, иными значимыми обстоятельствами.   </w:t>
      </w:r>
      <w:br/>
    </w:p>
    <w:p>
      <w:pPr>
        <w:spacing w:line="360" w:lineRule="auto"/>
      </w:pPr>
      <w:r>
        <w:rPr/>
        <w:t xml:space="preserve">При определении сложности дела может учитываться содержание Рекомендаций по применению критериев сложности споров, рассматриваемых в арбитражных судах Российской Федерации, утвержденных Информационным письмом Президиума ВАС РФ от 1 июля 2014 г. № 167. При этом необходимо иметь в виду, что указанные Рекомендации разработаны, как следует из содержания документа, в целях надлежащей организации судебной работы, корректировки судебной нагрузки и более равномерного распределения дел и направлены на оценку качества судебной работы. В частности, Рекомендации не учитывают и объективно не могут учитывать особенности адвокатской деятельности, связанной с взаимодействием с доверителем, учетом его интересов и рисков, избранием и согласованием способа защиты права доверителя либо их комплекса, формированием правовой и фактической позиций по делу.    </w:t>
      </w:r>
      <w:br/>
    </w:p>
    <w:p>
      <w:pPr>
        <w:spacing w:line="360" w:lineRule="auto"/>
      </w:pPr>
      <w:r>
        <w:rPr/>
        <w:t xml:space="preserve">5.4. На размер вознаграждения за оказание юридической помощи могут оказывать влияние характер требований субъекта (либо заявленных к нему) и цена иска.</w:t>
      </w:r>
      <w:br/>
    </w:p>
    <w:p>
      <w:pPr>
        <w:spacing w:line="360" w:lineRule="auto"/>
      </w:pPr>
      <w:r>
        <w:rPr/>
        <w:t xml:space="preserve">В то же время сама по себе, вне связи с категорией спора, содержанием и особенностями спорных правоотношений, цена иска не свидетельствует о сложности правового конфликта и связанных с ним правилах и особенностях юридической квалификации, а также доказательственной деятельности.</w:t>
      </w:r>
      <w:br/>
    </w:p>
    <w:p>
      <w:pPr>
        <w:spacing w:line="360" w:lineRule="auto"/>
      </w:pPr>
      <w:r>
        <w:rPr/>
        <w:t xml:space="preserve">При этом рассмотрение и разрешение неимущественных требований, в том числе направленных на защиту основополагающих личных неимущественных прав, может иметь для субъекта исключительное значение, влияющее, наряду с иными факторами, на формирование существенного условия соглашения об оказании юридической помощи о размере вознаграждения.      </w:t>
      </w:r>
      <w:br/>
    </w:p>
    <w:p>
      <w:pPr>
        <w:spacing w:line="360" w:lineRule="auto"/>
      </w:pPr>
      <w:r>
        <w:rPr/>
        <w:t xml:space="preserve">5.5. На формирование условия о размере вознаграждения влияет оценка адвокатом перспектив разрешения правовой ситуации.</w:t>
      </w:r>
      <w:br/>
    </w:p>
    <w:p>
      <w:pPr>
        <w:spacing w:line="360" w:lineRule="auto"/>
      </w:pPr>
      <w:r>
        <w:rPr/>
        <w:t xml:space="preserve">При этом необходимо учитывать, что право на получение квалифицированной юридической помощи в соответствии со статьей 48 Конституции Российской Федерации принадлежит каждому нуждающемуся в ней, вне зависимости от той или иной оценки перспектив разрешения правового конфликта и его последующего разрешения.</w:t>
      </w:r>
      <w:br/>
    </w:p>
    <w:p>
      <w:pPr>
        <w:spacing w:line="360" w:lineRule="auto"/>
      </w:pPr>
      <w:r>
        <w:rPr/>
        <w:t xml:space="preserve">5.6. Содержание деятельности адвоката по оказанию квалифицированной юридической помощи, а также полученные при ее осуществлении результаты могут быть недоступны для исследований, имеющих целью «рыночную» оценку размера вознаграждения за оказание юридической помощи, вследствие необходимости защиты сведений, составляющих адвокатскую тайну.</w:t>
      </w:r>
      <w:br/>
    </w:p>
    <w:p>
      <w:pPr>
        <w:spacing w:line="360" w:lineRule="auto"/>
      </w:pPr>
      <w:r>
        <w:rPr/>
        <w:t xml:space="preserve">В соответствии с подпунктом 5 пункта 4 статьи 6 Федерального закона № 63-ФЗ адвокат не вправе разглашать сведения, сообщенные ему доверителем в связи с оказанием последнему юридической помощи, без согласия доверителя.</w:t>
      </w:r>
      <w:br/>
    </w:p>
    <w:p>
      <w:pPr>
        <w:spacing w:line="360" w:lineRule="auto"/>
      </w:pPr>
      <w:r>
        <w:rPr/>
        <w:t xml:space="preserve">Согласно пункту 2 статьи 6 КПЭА, соблюдение профессиональной тайны является безусловным приоритетом деятельности адвоката.</w:t>
      </w:r>
      <w:br/>
    </w:p>
    <w:p>
      <w:pPr>
        <w:spacing w:line="360" w:lineRule="auto"/>
      </w:pPr>
      <w:r>
        <w:rPr/>
        <w:t xml:space="preserve">Кроме того, положения о защите адвокатской тайны, в системном применении с основополагающим запретом совершать любые действия вопреки законным интересам доверителя (подпункт 3 пункта 4 статьи 6 Федерального закона № 63-ФЗ, подпункт 1 пункта 1 статьи 9 КПЭА), исключают для адвоката возможность раскрытия полученных при осуществлении адвокатской деятельности сведений, включая факты и результаты опросов свидетелей, консультаций со специалистами, которые могут нанести вред правам и интересам доверителя либо рассматриваются им в качестве таковых.</w:t>
      </w:r>
      <w:br/>
    </w:p>
    <w:p>
      <w:pPr>
        <w:spacing w:line="360" w:lineRule="auto"/>
      </w:pPr>
      <w:r>
        <w:rPr/>
        <w:t xml:space="preserve">5.7. Имущественное положение лица, которому адвокатом оказывается юридическая помощь, равно как и лица, заключившего соглашение об оказании юридической помощи в интересах иного субъекта, не является фактором, исключающим оказание квалифицированной юридической помощи либо устанавливающим ограничения при определении размера вознаграждения.</w:t>
      </w:r>
      <w:br/>
    </w:p>
    <w:p>
      <w:pPr>
        <w:spacing w:line="360" w:lineRule="auto"/>
      </w:pPr>
      <w:r>
        <w:rPr/>
        <w:t xml:space="preserve">Судебная коллегия по экономическим спорам Верховного Суда Российской Федерации в Определении от 17 марта 2022 г. № 307-ЭС19-4636(17-19) по делу № А56-116888/2017 указала, что «разрешение вопроса о возможности заключения независимым адвокатом договора с организацией о защите интересов ее работника в рамках уголовного дела не может обусловливаться возложением на данного адвоката такой обязанности, как проверка имущественного положения организации-доверителя. Подход, занятый судами, фактически свелся к тому, что адвокат под страхом недействительности не вправе заключать договор с организациями, находящимися в сложном финансовом положении, имеющими неисполненные обязательства. С таким подходом судебная коллегия согласиться не может, так как, по сути, он блокирует саму возможность надлежащего доступа к правосудию для такого рода организаций, которым впоследствии могут быть противопоставлены как преюдициальные отдельные обстоятельства, установленные в рамках уголовного дела».</w:t>
      </w:r>
      <w:br/>
    </w:p>
    <w:p>
      <w:pPr>
        <w:spacing w:line="360" w:lineRule="auto"/>
      </w:pPr>
      <w:r>
        <w:rPr/>
        <w:t xml:space="preserve">5.8. Адвокат как независимый профессиональный советник имеет публичный статус и выполняет функции, имеющие публично-правовой характер (Постановление Конституционного Суда Российской Федерации от 10 ноября 2022 г. № 49-П «По делу о проверке конституционности абзаца второго пункта 3 статьи 17 Федерального закона “Об адвокатской деятельности и адвокатуре в Российской Федерации” в связи с жалобой гражданина С.Г. Шалавина», Постановление Конституционного Суда Российской Федерации от 21 января 2020 г. № 3-П «По делу о проверке конституционности положения статьи 54 Гражданского процессуального кодекса Российской Федерации в связи с жалобой гражданки С.», Постановление Конституционного Суда Российской Федерации от 18 июля 2019 г. № 29-П «По делу о проверке конституционности положения абзаца первого пункта 1 статьи 2 Федерального закона “Об адвокатской деятельности и адвокатуре в Российской Федерации” в связи с жалобой гражданина О.В. Сухова» и другие).</w:t>
      </w:r>
      <w:br/>
    </w:p>
    <w:p>
      <w:pPr>
        <w:spacing w:line="360" w:lineRule="auto"/>
      </w:pPr>
      <w:r>
        <w:rPr/>
        <w:t xml:space="preserve">Выполняя публичные функции и обладая публичным статусом, адвокат в то же время самостоятельно организует, финансирует и обеспечивает свою профессиональную деятельность.</w:t>
      </w:r>
      <w:br/>
    </w:p>
    <w:p>
      <w:pPr>
        <w:spacing w:line="360" w:lineRule="auto"/>
      </w:pPr>
      <w:r>
        <w:rPr/>
        <w:t xml:space="preserve">В отличие от работников по трудовому договору, адвокаты самостоятельно организуют работу по выполнению взятых на себя обязательств и несут ответственность за их надлежащее исполнение, сами регламентируют продолжительность своего рабочего времени и степень нагрузки (Определение Конституционного Суда Российской Федерации от 12 апреля 2011 г. № 550-О-О). Исходя из такого характера их деятельности, к ним не применяются гарантии, предусмотренные трудовым законодательством, в том числе гарантии по оплате труда (Определение Конституционного Суда Российской Федерации от 29 сентября 2011 г. № 1278-О-О).</w:t>
      </w:r>
      <w:br/>
    </w:p>
    <w:p>
      <w:pPr>
        <w:spacing w:line="360" w:lineRule="auto"/>
      </w:pPr>
      <w:r>
        <w:rPr/>
        <w:t xml:space="preserve">В этой связи при оценке размера вознаграждения за оказываемую юридическую помощь необходимо учитывать, что, выполняя предусмотренные законодательством Российской Федерации об адвокатской деятельности и адвокатуре обязанности, адвокат самостоятельно, либо через адвокатские образования, за счет собственных средств осуществляет обеспечение адвокатской деятельности, в том числе нежилыми помещениями, транспортом, оргтехникой, прием и оплату труда стажеров адвоката и помощников адвоката, а также технических и иных работников, исполняет связанные с публичными функциями организационные обязанности перед уполномоченными органами, в том числе в части представления различных видов отчетности, уплачивает страховые взносы на обязательное пенсионное и медицинское страхование, при наличии необходимости вступает в отношения по обязательному социальному страхованию.     </w:t>
      </w:r>
      <w:br/>
    </w:p>
    <w:p>
      <w:pPr>
        <w:spacing w:line="360" w:lineRule="auto"/>
      </w:pPr>
      <w:r>
        <w:rPr/>
        <w:t xml:space="preserve">5.9. При оценке опыта и квалификации адвоката как факторов, влияющих на размер вознаграждения за оказание юридической помощи (статья 16 КПЭА), необходимо учитывать опыт работы до приобретения статуса адвоката, продолжительность адвокатского стажа, наличие и характер специализации, профессиональное развитие, деловую репутацию, практические наработки и профессиональные достижения, в том числе выраженные в судебных постановлениях, наличие ученой степени, ученого звания, научных и научно-практических публикаций, иные значимые обстоятельства.</w:t>
      </w:r>
      <w:br/>
    </w:p>
    <w:p>
      <w:pPr>
        <w:spacing w:line="360" w:lineRule="auto"/>
      </w:pPr>
      <w:r>
        <w:rPr/>
        <w:t xml:space="preserve">5.10. Оценка «рыночного» размера вознаграждения за оказание юридической помощи зависит от категории и индивидуальных особенностей адвокатского образования (подразделения), в котором адвокат осуществляет профессиональную деятельность.</w:t>
      </w:r>
      <w:br/>
    </w:p>
    <w:p>
      <w:pPr>
        <w:spacing w:line="360" w:lineRule="auto"/>
      </w:pPr>
      <w:r>
        <w:rPr/>
        <w:t xml:space="preserve">На размер вознаграждения, в частности, влияют продолжительность профессиональной адвокатской деятельности, характеризующая накопленный опыт и стабильность результатов адвокатов адвокатского образования (подразделения), позитивная репутация среди доверителей и в юридическом сообществе, наличие и системный характер публичных практических результатов (кейсов), выраженных в судебных постановлениях, упоминания в признанных профессиональных рейтингах (Право.ru-300, Legal 500, Chambers, ИД «КоммерсантЪ»), структура, специализация, наличие высококвалифицированных специалистов, опыт работы с крупными предпринимательскими структурами, наличие собственных баз данных и современных IT-решений, соблюдение КПЭА и собственных стандартов качества, возможность организации деятельности в различных регионах Российской Федерации и за рубежом, иные значимые обстоятельства.</w:t>
      </w:r>
      <w:br/>
    </w:p>
    <w:p>
      <w:pPr>
        <w:spacing w:line="360" w:lineRule="auto"/>
      </w:pPr>
      <w:r>
        <w:rPr/>
        <w:t xml:space="preserve">5.11. На формирование условия о вознаграждении могут влиять территориальные факторы, характеризующие экономические условия региона, предпринимательскую активность, уровень жизни, систему расходов на организацию и осуществление адвокатской деятельности, транспортную доступность и иные региональные особенности.  </w:t>
      </w:r>
      <w:br/>
    </w:p>
    <w:p>
      <w:pPr>
        <w:spacing w:line="360" w:lineRule="auto"/>
      </w:pPr>
      <w:r>
        <w:rPr/>
        <w:t xml:space="preserve">5.12. В случаях, предусмотренных пунктом 4.1 статьи 25 Федерального закона № 63-ФЗ, размер выплаты доверителем вознаграждения может быть поставлен в зависимость от результата оказания юридической помощи (Правила включения в соглашение адвоката с доверителем условия о вознаграждении, зависящем от результата оказания юридической помощи, утвержденные решением Совета Федеральной палаты адвокатов Российской Федерации от 2 апреля 2020 г., протокол № 12). При таком способе установления размер вознаграждения определяется также исходя из достигнутого правового результата и сопряженного с ним риска неполучения вознаграждения, вследствие чего данный вид вознаграждения несопоставим с усредненными расценками за оказание юридической помощи.</w:t>
      </w:r>
      <w:br/>
    </w:p>
    <w:p>
      <w:pPr>
        <w:spacing w:line="360" w:lineRule="auto"/>
      </w:pPr>
      <w:r>
        <w:rPr/>
        <w:t xml:space="preserve">6. Утверждаемые адвокатскими палатами субъектов Российской Федерации минимальные ставки вознаграждения адвокатов имеют рекомендательный характер, не учитывают определяющую часть существенных факторов, влияющих на формирование условия о размере вознаграждения за оказываемую адвокатами юридическую помощь, и указывают на наименьшую величину вознаграждения за определенные виды юридической помощи в зависимости исключительно от категории дела.</w:t>
      </w:r>
      <w:br/>
    </w:p>
    <w:p>
      <w:pPr>
        <w:spacing w:line="360" w:lineRule="auto"/>
      </w:pPr>
      <w:r>
        <w:rPr/>
        <w:t xml:space="preserve">7. Определение существенного условия о размере вознаграждения в целях вступления в договорные отношения по поводу оказания юридической помощи и установление судом разумных пределов расходов на оплату услуг представителя в целях их возмещения стороне, в пользу которой состоялось решение суда, представляют собой принципиально различающиеся процедуры, регулируемые различными нормами права, имеющими разные цели, субъектный состав, критерии определения и правовые последствия.</w:t>
      </w:r>
      <w:br/>
    </w:p>
    <w:p>
      <w:pPr>
        <w:spacing w:line="360" w:lineRule="auto"/>
      </w:pPr>
      <w:r>
        <w:rPr/>
        <w:t xml:space="preserve">На существенные различия процедур определения размера вознаграждения за оказываемую юридическую помощь и возмещения расходов на оплату услуг представителя обратила внимание Судебная коллегия по гражданским делам Верховного Суда Российской Федерации в Определении от 21 мая 2019 г. № 49-КГ19-10, указав на невозможность в деле о взыскании суммы неисполненного обязательства согласиться с суждением о том, что суд вправе определять разумные пределы расходов, поскольку «вопрос о взыскании судебных расходов по конкретному рассмотренному гражданскому делу перед судом не ставился и не рассматривался».</w:t>
      </w:r>
      <w:br/>
    </w:p>
    <w:p>
      <w:pPr>
        <w:spacing w:line="360" w:lineRule="auto"/>
      </w:pPr>
      <w:r>
        <w:rPr/>
        <w:t xml:space="preserve">8. В целях определения «рыночного» размера вознаграждения за оказываемую юридическую помощь не могут учитываться размеры вознаграждения за осуществление защиты по назначению дознавателя, следователя или суда, устанавливаемые постановлением Правительства Российской Федерации от 1 декабря 2012 г. № 1240 «О порядке и размере возмещения процессуальных издержек, связанных с уголовным судопроизводством, издержек в связи с рассмотрением дела арбитражным судом, гражданского дела, административного дела, а также расходов в связи с выполнением требований Конституционного Суда Российской Федерации и о признании утратившими силу некоторых актов Совета Министров РСФСР и Правительства Российской Федерации», и размеры вознаграждения за оказание бесплатной юридической помощи, устанавливаемые в соответствии с положениями Федерального закона от 21 ноября 2011 г. № 324-ФЗ «О бесплатной юридической помощи в Российской Федерации», а также нормативными актами субъектов Российской Федерации.</w:t>
      </w:r>
      <w:br/>
    </w:p>
    <w:p>
      <w:pPr>
        <w:spacing w:line="360" w:lineRule="auto"/>
      </w:pPr>
      <w:r>
        <w:rPr/>
        <w:t xml:space="preserve">Размеры вознаграждения за осуществление защиты по назначению и за оказание бесплатной юридической помощи в рамках государственной системы бесплатной юридической помощи формируются вне связи с договорными и иными рыночными, включая процедуру государственных закупок, критериями и механизмами формирования цены и определяются правовой природой установленных государством публичных обязанностей адвокатов (подпункт 2 пункта 1 статьи 7 Федерального закона № 63-ФЗ).  </w:t>
      </w:r>
      <w:br/>
    </w:p>
    <w:p>
      <w:pPr>
        <w:spacing w:line="360" w:lineRule="auto"/>
      </w:pPr>
      <w:r>
        <w:rPr/>
        <w:t xml:space="preserve">9. Рассмотренные обстоятельства исключают возможность использования в целях определения размера вознаграждения за оказываемую адвокатом юридическую помощь методов анализа «рыночных» цен, метода сопоставимых рыночных цен и иных аналогичных методов как не учитывающих общие характеристики и индивидуальные особенности правовой ситуации и ее сложности, квалификации относящихся к ней материальных правоотношений.</w:t>
      </w:r>
      <w:br/>
    </w:p>
    <w:p>
      <w:pPr>
        <w:spacing w:line="360" w:lineRule="auto"/>
      </w:pPr>
      <w:r>
        <w:rPr/>
        <w:t xml:space="preserve">Результатом исследований, имеющих целью определение сопоставимых «рыночных» цен, могут быть лишь статистические обобщения, представляющие собой средние показатели стоимости юридической работы, не отражающие содержание конкретной правовой ситуации, ее субъектный состав, обстоятельства, характеризующие доверителя, его риски и правовой интерес, характеристику поверенного, иные имеющие существенное значение обстоятельства.</w:t>
      </w:r>
      <w:br/>
    </w:p>
    <w:p>
      <w:pPr>
        <w:spacing w:line="360" w:lineRule="auto"/>
      </w:pPr>
      <w:r>
        <w:rPr/>
        <w:t xml:space="preserve">Итоги таких статистических обобщений будут основываться исключительно на несистемной, случайно полученной информации, поскольку в соответствии с пунктом 5 статьи 6 КПЭА правила сохранения профессиональной тайны распространяются в том числе на условия соглашения об оказании юридической помощи, включая денежные расчеты между адвокатом и доверителем.</w:t>
      </w:r>
      <w:br/>
    </w:p>
    <w:p>
      <w:pPr>
        <w:spacing w:line="360" w:lineRule="auto"/>
      </w:pPr>
      <w:r>
        <w:rPr/>
        <w:t xml:space="preserve">10. В связи с изложенным проведение изысканий, имеющих целью определение «рыночного» размера вознаграждения адвоката за оказываемую юридическую помощь, потребует от исследователя глубоких профессиональных знаний в определенных отраслях права, а также анализа существенного объема неочевидной информации, значительная часть которой может оказаться объективно недоступной в силу положений действующего законодательства о защите адвокатской тайны. Это определяет формирование презумпции недостоверности итогов такого рода исследований и несостоятельность основанных на их результатах утверждений о несоразмерности либо несоответствии размера вознаграждения по соглашению об оказании юридической помощи так называемым рыночным ценам.</w:t>
      </w:r>
      <w:br/>
    </w:p>
    <w:sectPr>
      <w:pgSz w:orient="portrait" w:w="11905.511811023622" w:h="16837.79527559055"/>
      <w:pgMar w:top="850.3937007874015" w:right="566.9291338582676" w:bottom="22.5" w:left="566.9291338582676" w:header="720" w:footer="720" w:gutter="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283.4645669291338"/>
    </w:pPr>
    <w:rPr>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ФПА РФ</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AutoGenerator</dc:creator>
  <dc:title>Разъяснение Совета Федеральной палаты адвокатов Российской Федерации по вопросу определения «рыночного» размера вознаграждения адвоката за оказание юридической помощи </dc:title>
  <dc:description/>
  <dc:subject/>
  <cp:keywords/>
  <cp:category/>
  <cp:lastModifiedBy/>
  <dcterms:created xsi:type="dcterms:W3CDTF">2026-08-06T11:57:39+03:00</dcterms:created>
  <dcterms:modified xsi:type="dcterms:W3CDTF">2026-08-06T11:57:39+03:00</dcterms:modified>
</cp:coreProperties>
</file>

<file path=docProps/custom.xml><?xml version="1.0" encoding="utf-8"?>
<Properties xmlns="http://schemas.openxmlformats.org/officeDocument/2006/custom-properties" xmlns:vt="http://schemas.openxmlformats.org/officeDocument/2006/docPropsVTypes"/>
</file>