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lineRule="auto" w:line="276" w:before="0" w:after="0"/>
        <w:contextualSpacing/>
        <w:jc w:val="center"/>
        <w:rPr>
          <w:b w:val="false"/>
          <w:i w:val="false"/>
          <w:sz w:val="24"/>
          <w:lang w:val="ru-RU"/>
        </w:rPr>
      </w:pPr>
      <w:bookmarkStart w:id="0" w:name="_Toc1"/>
      <w:r>
        <w:rPr>
          <w:b w:val="false"/>
          <w:i w:val="false"/>
          <w:sz w:val="24"/>
          <w:lang w:val="ru-RU"/>
        </w:rPr>
        <w:t>Методические рекомендации по реализации прав адвоката, предусмотренных</w:t>
      </w:r>
    </w:p>
    <w:p>
      <w:pPr>
        <w:pStyle w:val="1"/>
        <w:bidi w:val="0"/>
        <w:spacing w:lineRule="auto" w:line="276" w:before="0" w:after="0"/>
        <w:contextualSpacing/>
        <w:jc w:val="center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 xml:space="preserve"> </w:t>
      </w:r>
      <w:r>
        <w:rPr>
          <w:b w:val="false"/>
          <w:i w:val="false"/>
          <w:sz w:val="24"/>
          <w:lang w:val="ru-RU"/>
        </w:rPr>
        <w:t xml:space="preserve">п. 2 ч. 1 ст. 53, ч. 3 ст. 86 УПК РФ и п. 3 ст. 6 Федерального закона </w:t>
      </w:r>
    </w:p>
    <w:p>
      <w:pPr>
        <w:pStyle w:val="1"/>
        <w:bidi w:val="0"/>
        <w:spacing w:lineRule="auto" w:line="276" w:before="0" w:after="0"/>
        <w:contextualSpacing/>
        <w:jc w:val="center"/>
        <w:rPr>
          <w:b w:val="false"/>
          <w:i w:val="false"/>
          <w:sz w:val="24"/>
          <w:lang w:val="ru-RU"/>
        </w:rPr>
      </w:pPr>
      <w:bookmarkStart w:id="1" w:name="_Toc1"/>
      <w:r>
        <w:rPr>
          <w:b w:val="false"/>
          <w:i w:val="false"/>
          <w:sz w:val="24"/>
          <w:lang w:val="ru-RU"/>
        </w:rPr>
        <w:t>«Об адвокатской деятельности и адвокатуре в Российской Федерации»</w:t>
      </w:r>
      <w:bookmarkEnd w:id="1"/>
      <w:r>
        <w:rPr>
          <w:b w:val="false"/>
          <w:i w:val="false"/>
          <w:sz w:val="24"/>
          <w:lang w:val="ru-RU"/>
        </w:rPr>
        <w:t xml:space="preserve">     </w:t>
      </w:r>
      <w:r>
        <w:rPr>
          <w:b w:val="false"/>
          <w:i w:val="false"/>
          <w:color w:val="999999"/>
          <w:sz w:val="24"/>
          <w:szCs w:val="20"/>
          <w:lang w:val="ru-RU"/>
        </w:rPr>
        <w:t xml:space="preserve"> </w:t>
      </w:r>
    </w:p>
    <w:p>
      <w:pPr>
        <w:pStyle w:val="Normal"/>
        <w:bidi w:val="0"/>
        <w:spacing w:lineRule="auto" w:line="276" w:before="0" w:after="0"/>
        <w:contextualSpacing/>
        <w:jc w:val="right"/>
        <w:rPr>
          <w:b w:val="false"/>
          <w:i w:val="false"/>
          <w:sz w:val="24"/>
          <w:lang w:val="ru-RU"/>
        </w:rPr>
      </w:pPr>
      <w:r>
        <w:rPr>
          <w:b w:val="false"/>
          <w:bCs/>
          <w:i w:val="false"/>
          <w:sz w:val="24"/>
          <w:lang w:val="ru-RU"/>
        </w:rPr>
        <w:t>Утверждены</w:t>
      </w:r>
      <w:r>
        <w:rPr>
          <w:b w:val="false"/>
          <w:i w:val="false"/>
          <w:sz w:val="24"/>
          <w:lang w:val="ru-RU"/>
        </w:rPr>
        <w:br/>
      </w:r>
      <w:r>
        <w:rPr>
          <w:b w:val="false"/>
          <w:bCs/>
          <w:i w:val="false"/>
          <w:sz w:val="24"/>
          <w:lang w:val="ru-RU"/>
        </w:rPr>
        <w:t>решением Совета ФПА РФ</w:t>
      </w:r>
      <w:r>
        <w:rPr>
          <w:b w:val="false"/>
          <w:i w:val="false"/>
          <w:sz w:val="24"/>
          <w:lang w:val="ru-RU"/>
        </w:rPr>
        <w:br/>
      </w:r>
      <w:r>
        <w:rPr>
          <w:b w:val="false"/>
          <w:bCs/>
          <w:i w:val="false"/>
          <w:sz w:val="24"/>
          <w:lang w:val="ru-RU"/>
        </w:rPr>
        <w:t>от 22 апреля 2004 г. (протокол № 5)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br/>
        <w:t>Действующим уголовно-процессуальным законодательством защитнику обвиняемого (подозреваемого) предоставлены некоторые права по собиранию доказательств. В соответствии с пунктом 2 части первой статьи 53 УПК РФ защитнику предоставлено право собирать и представлять доказательства, необходимые для оказания юридической помощи, в установленном уголовно-процессуальным законодательством порядке.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В части 3 статьи 86 УПК РФ дан перечень процессуальных действий, направленных на собирание доказательств в ходе оказания юридической помощи по уголовному делу, которые вправе проводить защитник. Они по существу отличаются от действий, которые осуществляют органы предварительного следствия и суд при собирании доказательств. Таковыми являются: получение предметов, документов и иных сведений (п. 1), опрос лиц с их согласия (п. 2) и истребование справок, характеристик и иных документов от различных органов, объединений и организаций (п. 3). Аналогичные права предоставлены адвокату п.п. 1-3 ч.3 ст. 6 Федерального закона РФ «Об адвокатской деятельности и адвокатуре в Российской Федерации» (далее – Федеральный закон).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При разработке и принятии ныне действующего Уголовно-процессуального кодекса законодатель, закрепив указанные средства собирания доказательств по уголовному делу, не установил процессуальный порядок производства этих действий, что на практике вызывает споры и влечет необоснованные решения об отказе в приобщении собранных адвокатом доказательств к материалам дела со стороны дознавателей, следователей, прокуроров и судов, и оценке их в совокупности с другими собранными по делу доказательствами.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Вместе с тем, как показала практика адвокатской деятельности, рассматриваемые способы собирания доказательств используются адвокатами достаточно широко, в связи с чем возникла необходимость в даче настоящих методических рекомендаций.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В ходе собирания доказательств следует, прежде всего, учитывать требования ст. ст. 74 и 75 УПК РФ, закрепляющих понятие, свойства и виды доказательств. Кроме того, необходимо иметь в виду формы их процессуального закрепления. Поскольку действующим УПК РФ процессуальные документы, которыми бы фиксировались действия и решения адвоката в ходе собирания доказательств, не предусмотрены (постановление, протокол), то таковые должны по форме и содержанию соответствовать требованиям ст. 84 УПК РФ.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Рекомендуемый порядок фиксации действий адвоката по собиранию доказательств по уголовному делу и их результатов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1. Получение предметов, документов и иных сведений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Предметы, имеющие значение для дела, в уголовном судопроизводстве органы предварительного расследования получают путем производства выемки. Адвокату такого полномочия законодательством не предоставлено. Поэтому, в случае необходимости, получение таких предметов рекомендуется осуществлять только на добровольной основе и на основании согласия владельца.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Как представляется, с этой целью адвокату необходимо получить письменное заявление от владельца данного предмета. В заявлении рекомендуется отразить, помимо обязательных реквизитов, следующее: когда и при каких обстоятельствах был получен им данный предмет, его отличительные признаки, в связи с чем он желает передать его адвокату и для каких целей, сделана ли эта выдача добровольно и не применялись ли к нему какие-либо меры принуждения с целью получения предмета. При необходимости подпись лица, подавшего заявление, рекомендуется нотариально засвидетельствовать.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Процедура добровольной передачи предмета от владельца к адвокату может осуществляться в присутствии граждан в числе не менее двух, которые должны засвидетельствовать факт и результаты добровольной передачи предмета. При необходимости использования специальных познаний при получении или осмотре предмета для участия в данном процессуальном действии может быть приглашен специалист. Данное полномочие установлено п. 3 ч. 1 ст. 53 УПК РФ.  Ход и результаты получения предмета могут фиксироваться с помощью фото-, аудио- и видеотехники. После получения предмета, адвокату в присутствии его владельца и свидетелей, при необходимости с участием специалиста, необходимо детально осмотреть предмет и выявить его характерные приметы и имеющиеся следы. 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По окончании данного процессуального действия необходимо составить документ, в котором отразить основания, ход и результаты получения предмета. Представляется, что таким документом может быть «Протокол получения предмета». В акте рекомендуется указать  следующие сведения: время и место получения предмета, кто проводил это действие, на основании чего был получен данный предмет, с участием каких лиц производилось получение предмета и его осмотр, какие технические средства применялись при этом, какой предмет был получен, результаты его осмотра, был ли упакован предмет и каким образом, как опечатан предмет. С актом должны быть ознакомлены все участники  выдачи и получения предмета, после ознакомления все участникам разъясняется право сделать дополнения и замечания, после чего они подписывают акт. К акту должны быть приложены полученный предмет, аудио-, фото- и видеоматериалы, фиксирующие ход и результаты его проведения, о чем делается отметка в самом акте.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Рассматривая полномочия адвоката по получению документов и иных сведений,  которые могут являться доказательствами по уголовному делу,  очевидно, что в данном случае имеется в виду случаи их нахождения в ведении или владении граждан или коммерческих организаций, на которых законодательством не возложена обязанность предоставлять документы или их копии по требованию адвокатов в соответствии с п. 3 ч. 3 ст. 86 УПК РФ. Процессуальный порядок их получения должен быть таким же, как и получение предметов, о чем изложено выше.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2. Опрос лиц с их согласия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Следует отметить, что по этому вопросу в различных печатных изданиях имеется значительное количество публикаций.1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 </w:t>
      </w:r>
      <w:r>
        <w:rPr>
          <w:b w:val="false"/>
          <w:i w:val="false"/>
          <w:sz w:val="24"/>
          <w:lang w:val="ru-RU"/>
        </w:rPr>
        <w:t>Опрос, как предусмотрено п. 3 ч. 3 ст. 86 УПК РФ, производится только с согласия лица, которого возникла необходимость опросить. Сам опрос, как представляется, может быть оформлен в виде ответов на конкретные вопросы, либо в форме свободного рассказа с постановкой уточняющих вопросов в конце его.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Отдельного внимание заслуживает вопрос о возможности совершения рассматриваемого действия после допроса этого же лица следователем в качестве свидетеля, потерпевшего, обвиняемого или подозреваемого. Как представляется, такой опрос возможен только в случае, если в ходе их допросов не были выяснены все вопросы, имеющие существенное значение для дела.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Ход и результаты опроса предлагается  фиксировать в специальном документе, например, назвав его «Протокол опроса лица с его согласия». Не рекомендуется  называть его протоколом, т.к. УПК РФ составление такого процессуального документа предусмотрено по результатам производства процессуальных действий,  проводимых следственными органами. При составлении же акта, его можно отнести к иным документам, как виду доказательств, предусмотренных п. 6 ч. 2 ст. 74 УПК РФ и отвечающих требованиям ст. 84 этого же Кодекса.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В акте должны найти отражение следующие данные: сведения об адвокате, проводившем опрос, с указанием адвокатского образования, адвокатской палаты субъекта РФ, в которых значится этот адвокат, его номер в соответствующем реестре и номер ордера, на основании которого он выполняет поручение по данному делу; фамилия, имя, отчество, дата и место рождения опрашиваемого лица, его место жительства, место работы, должность, домашний и рабочий телефоны, сведения о документах, удостоверяющих его личность, отношение к обвиняемому и потерпевшему; отметка о согласии на опрос. Акт опроса, как представляется, должен соответствовать требованиям, предъявляемым к протоколу допроса свидетеля  (ст.ст. 189-191 УПК РФ).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3. Истребование справок, характеристик, иных документов от органов государственной власти, органов местного самоуправления, общественных объединений и организаций, которые обязаны предоставлять запрашиваемые документы или их копии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 </w:t>
      </w:r>
      <w:r>
        <w:rPr>
          <w:b w:val="false"/>
          <w:i w:val="false"/>
          <w:sz w:val="24"/>
          <w:lang w:val="ru-RU"/>
        </w:rPr>
        <w:t>Рассматриваемая норма УПК РФ использовалась и ранее. Однако такое право вне участия в судопроизводстве по уголовному делу осуществлялось в виде направления ходатайства или запроса от имени коллегии адвокатов или юридической консультации, которые подписывались соответствующим руководителем.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Ныне действующим УПК РФ такое право предоставлено непосредственно адвокату. Реализацию этого права рекомендуется осуществлять путем направления в указанные в ст. 86 УПК РФ органы и организации запросов с целью получения, указанных в нем документов. При направлении запроса допустимо использование бланков адвокатского образования, установленного образца.  При необходимости они могут быть удостоверены печатью соответствующего адвокатского образования. Запрос с требованием необходимых документов должны быть мотивированными. В нем также целесообразно указать сроки разрешения его со ссылкой на действующее законодательство о порядке разрешения обращений граждан.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Заслуживает внимания вопрос о порядке приобщения к материалам уголовного дела полученных в порядке п. 3 ч. 3 ст. 86 УПК РФ предметов, документов, справок и иных сведений.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Рекомендуется для этого направить в органы предварительного расследования либо в суд письменное мотивированное ходатайство, в котором в качестве приложения указать следующие документы: заявление о добровольной выдаче предмета, соответствующие акты получения, сами предметы, документы, справки и иные сведения.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В случае отказа в приеме ходатайства, следует иметь в виду, что оно в соответствии со ст. 120 УПК РФ в любом случае, даже и при отказе в его удовлетворении, подлежит приобщению к материалам уголовного дела, а поскольку полученный предмет, а также справки, документы и иные сведения являются приложением к ходатайству, то они подлежат приобщению к тем же материалам дела.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______________________________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1При подготовке настоящих рекомендаций использованы: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- научно-практический комментарий Федерального закона «Об адвокатской деятельности и адвокатуре в Российской Федерации» под ред. Д.Н.Козака, М., «Статут», 2003;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- комментарий к Федеральному закону «Об адвокатской деятельности и адвокатуре в Российской Федерации», под ред. А.В.Гриненко, М., «Кодекс» 2003;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  <w:t>- Паршуткин В.В., «Опрос адвокатом лиц с их согласия», газета международного союза (содружества) адвокатов «Адвокат», № 11(148), М., 2003.</w:t>
      </w:r>
    </w:p>
    <w:p>
      <w:pPr>
        <w:pStyle w:val="Normal"/>
        <w:bidi w:val="0"/>
        <w:spacing w:lineRule="auto" w:line="276" w:before="0" w:after="0"/>
        <w:contextualSpacing/>
        <w:jc w:val="both"/>
        <w:rPr>
          <w:b w:val="false"/>
          <w:i w:val="false"/>
          <w:sz w:val="24"/>
          <w:lang w:val="ru-RU"/>
        </w:rPr>
      </w:pPr>
      <w:r>
        <w:rPr>
          <w:b w:val="false"/>
          <w:i w:val="false"/>
          <w:sz w:val="24"/>
          <w:lang w:val="ru-RU"/>
        </w:rPr>
      </w:r>
    </w:p>
    <w:sectPr>
      <w:type w:val="nextPage"/>
      <w:pgSz w:w="11906" w:h="16838"/>
      <w:pgMar w:left="566" w:right="566" w:gutter="0" w:header="0" w:top="850" w:footer="0" w:bottom="2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1">
    <w:name w:val="Heading 1"/>
    <w:basedOn w:val="Normal"/>
    <w:qFormat/>
    <w:pPr>
      <w:spacing w:before="0" w:after="283"/>
      <w:jc w:val="center"/>
    </w:pPr>
    <w:rPr>
      <w:b/>
      <w:bCs/>
      <w:sz w:val="32"/>
      <w:szCs w:val="32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LibreOffice/7.3.1.3$Windows_x86 LibreOffice_project/a69ca51ded25f3eefd52d7bf9a5fad8c90b87951</Application>
  <AppVersion>15.0000</AppVersion>
  <Pages>4</Pages>
  <Words>1377</Words>
  <Characters>9126</Characters>
  <CharactersWithSpaces>10493</CharactersWithSpaces>
  <Paragraphs>33</Paragraphs>
  <Company>ФПА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2023-10-17T12:04:47Z</dcterms:created>
  <dc:creator>AutoGenerator</dc:creator>
  <dc:description/>
  <dc:language>ru-RU</dc:language>
  <cp:lastModifiedBy/>
  <dcterms:modified xsi:type="dcterms:W3CDTF">2024-07-04T18:49:51Z</dcterms:modified>
  <cp:revision>1</cp:revision>
  <dc:subject/>
  <dc:title>Методические рекомендации по реализации прав адвоката, предусмотренных п. 2 ч. 1 ст. 53, ч. 3 ст. 86 УПК РФ и п. 3 ст. 6 Федерального закона «Об адвокатской деятельности и адвокатуре в Российской Федерации»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